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F4618C"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4618C">
        <w:rPr>
          <w:sz w:val="28"/>
          <w:szCs w:val="28"/>
        </w:rPr>
        <w:t>Развитие физической культуры и спорта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E03FDC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F187D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E64C4B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F4618C">
            <w:pPr>
              <w:shd w:val="clear" w:color="auto" w:fill="FFFFFF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E64C4B">
              <w:rPr>
                <w:bCs/>
                <w:kern w:val="2"/>
                <w:sz w:val="28"/>
                <w:szCs w:val="28"/>
              </w:rPr>
              <w:t>1212,6</w:t>
            </w:r>
            <w:r>
              <w:rPr>
                <w:bCs/>
                <w:kern w:val="2"/>
                <w:sz w:val="28"/>
                <w:szCs w:val="28"/>
              </w:rPr>
              <w:t xml:space="preserve"> 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тыс. рублей, в том числе по годам:</w:t>
            </w:r>
          </w:p>
          <w:p w:rsidR="00F4618C" w:rsidRPr="00F4618C" w:rsidRDefault="00E64C4B" w:rsidP="00F4618C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>
              <w:rPr>
                <w:kern w:val="2"/>
                <w:sz w:val="28"/>
                <w:szCs w:val="28"/>
              </w:rPr>
              <w:t xml:space="preserve">30,6 </w:t>
            </w:r>
            <w:r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2017 году – 177,0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2018 году – 177,0  тыс. рублей,</w:t>
            </w:r>
          </w:p>
          <w:p w:rsidR="00F4618C" w:rsidRPr="00F4618C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F4618C">
            <w:pPr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177,0  тыс.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2E42" w:rsidRPr="00E64C4B" w:rsidRDefault="00E64C4B" w:rsidP="00E64C4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7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176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5789" w:rsidRDefault="00915789" w:rsidP="005A6540">
      <w:r>
        <w:separator/>
      </w:r>
    </w:p>
  </w:endnote>
  <w:endnote w:type="continuationSeparator" w:id="0">
    <w:p w:rsidR="00915789" w:rsidRDefault="0091578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5789" w:rsidRDefault="00915789" w:rsidP="005A6540">
      <w:r>
        <w:separator/>
      </w:r>
    </w:p>
  </w:footnote>
  <w:footnote w:type="continuationSeparator" w:id="0">
    <w:p w:rsidR="00915789" w:rsidRDefault="0091578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523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49B35B-2456-4D66-92C3-DB4200CD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2025-07-14T17:47:00Z</dcterms:created>
  <dcterms:modified xsi:type="dcterms:W3CDTF">2025-07-14T17:47:00Z</dcterms:modified>
</cp:coreProperties>
</file>